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335" w:rsidRDefault="005E4335" w:rsidP="005E4335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人群归因危险度百分比</w:t>
      </w:r>
      <w:r>
        <w:rPr>
          <w:rFonts w:hint="eastAsia"/>
        </w:rPr>
        <w:t>与</w:t>
      </w:r>
      <w:r>
        <w:rPr>
          <w:rFonts w:hint="eastAsia"/>
        </w:rPr>
        <w:t>几何平均数</w:t>
      </w:r>
      <w:bookmarkStart w:id="0" w:name="_GoBack"/>
      <w:bookmarkEnd w:id="0"/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人群归因危险度百分比（</w:t>
      </w:r>
      <w:r>
        <w:rPr>
          <w:rFonts w:hint="eastAsia"/>
        </w:rPr>
        <w:t>Population attributable risk proportion)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指人群中由于暴露（接触）</w:t>
      </w:r>
      <w:proofErr w:type="gramStart"/>
      <w:r>
        <w:rPr>
          <w:rFonts w:hint="eastAsia"/>
        </w:rPr>
        <w:t>某因素</w:t>
      </w:r>
      <w:proofErr w:type="gramEnd"/>
      <w:r>
        <w:rPr>
          <w:rFonts w:hint="eastAsia"/>
        </w:rPr>
        <w:t>所致疾病率占人群疾病率的比例，它表示，如停止接触该因素，人群中的疾病率可减少的程度，故又称病因分数。它既反应相对危险度的大小，又反应人群的暴露（接触）比例高低。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PARP=Po(OR-11111100%</w:t>
      </w:r>
      <w:r>
        <w:rPr>
          <w:rFonts w:hint="eastAsia"/>
        </w:rPr>
        <w:t>。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其中，</w:t>
      </w:r>
      <w:r>
        <w:rPr>
          <w:rFonts w:hint="eastAsia"/>
        </w:rPr>
        <w:t>P</w:t>
      </w:r>
      <w:r>
        <w:rPr>
          <w:rFonts w:hint="eastAsia"/>
        </w:rPr>
        <w:t>。与</w:t>
      </w:r>
      <w:r>
        <w:rPr>
          <w:rFonts w:hint="eastAsia"/>
        </w:rPr>
        <w:t>OR</w:t>
      </w:r>
      <w:r>
        <w:rPr>
          <w:rFonts w:hint="eastAsia"/>
        </w:rPr>
        <w:t>见“比值比”。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几何平均数（</w:t>
      </w:r>
      <w:r>
        <w:rPr>
          <w:rFonts w:hint="eastAsia"/>
        </w:rPr>
        <w:t>Geometric average)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一种累积平均数，记为</w:t>
      </w:r>
      <w:r>
        <w:rPr>
          <w:rFonts w:hint="eastAsia"/>
        </w:rPr>
        <w:t>G</w:t>
      </w:r>
      <w:r>
        <w:rPr>
          <w:rFonts w:hint="eastAsia"/>
        </w:rPr>
        <w:t>。</w:t>
      </w:r>
    </w:p>
    <w:p w:rsidR="005E4335" w:rsidRDefault="005E4335" w:rsidP="005E4335">
      <w:pPr>
        <w:spacing w:beforeLines="50" w:before="156" w:afterLines="50" w:after="156"/>
        <w:ind w:firstLineChars="200" w:firstLine="420"/>
      </w:pPr>
      <w:r>
        <w:t>2.1gx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直接法）</w:t>
      </w:r>
    </w:p>
    <w:p w:rsidR="005E4335" w:rsidRDefault="005E4335" w:rsidP="005E4335">
      <w:pPr>
        <w:spacing w:beforeLines="50" w:before="156" w:afterLines="50" w:after="156"/>
        <w:ind w:firstLineChars="200" w:firstLine="420"/>
      </w:pPr>
      <w:r>
        <w:t>X1...</w:t>
      </w:r>
      <w:proofErr w:type="spellStart"/>
      <w:r>
        <w:t>Xn</w:t>
      </w:r>
      <w:proofErr w:type="spellEnd"/>
      <w:r>
        <w:t>=1g-1 n</w:t>
      </w:r>
    </w:p>
    <w:p w:rsidR="005E4335" w:rsidRDefault="005E4335" w:rsidP="005E4335">
      <w:pPr>
        <w:spacing w:beforeLines="50" w:before="156" w:afterLines="50" w:after="156"/>
        <w:ind w:firstLineChars="200" w:firstLine="420"/>
      </w:pPr>
      <w:r>
        <w:t>G=</w:t>
      </w:r>
    </w:p>
    <w:p w:rsidR="005E4335" w:rsidRDefault="005E4335" w:rsidP="005E4335">
      <w:pPr>
        <w:spacing w:beforeLines="50" w:before="156" w:afterLines="50" w:after="156"/>
        <w:ind w:firstLineChars="200" w:firstLine="420"/>
      </w:pPr>
      <w:r>
        <w:t>2filgxi</w:t>
      </w:r>
    </w:p>
    <w:p w:rsidR="005E4335" w:rsidRDefault="005E4335" w:rsidP="005E4335">
      <w:pPr>
        <w:spacing w:beforeLines="50" w:before="156" w:afterLines="50" w:after="156"/>
        <w:ind w:firstLineChars="200" w:firstLine="420"/>
      </w:pPr>
      <w:proofErr w:type="spellStart"/>
      <w:proofErr w:type="gramStart"/>
      <w:r>
        <w:t>yxif</w:t>
      </w:r>
      <w:proofErr w:type="spellEnd"/>
      <w:proofErr w:type="gramEnd"/>
      <w:r>
        <w:t>....</w:t>
      </w:r>
      <w:proofErr w:type="spellStart"/>
      <w:r>
        <w:t>xmfm</w:t>
      </w:r>
      <w:proofErr w:type="spellEnd"/>
      <w:r>
        <w:t>=18"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加权法）</w:t>
      </w:r>
      <w:r>
        <w:rPr>
          <w:rFonts w:hint="eastAsia"/>
        </w:rPr>
        <w:t>,</w:t>
      </w:r>
      <w:r>
        <w:rPr>
          <w:rFonts w:hint="eastAsia"/>
        </w:rPr>
        <w:t>其中</w:t>
      </w:r>
      <w:r>
        <w:rPr>
          <w:rFonts w:hint="eastAsia"/>
        </w:rPr>
        <w:t>n=2fi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几何平均数主要特点：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几何平均数</w:t>
      </w:r>
      <w:r>
        <w:rPr>
          <w:rFonts w:hint="eastAsia"/>
        </w:rPr>
        <w:t>G</w:t>
      </w:r>
      <w:r>
        <w:rPr>
          <w:rFonts w:hint="eastAsia"/>
        </w:rPr>
        <w:t>的对数是观测值对数的算术平均数；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2.2.2.2.</w:t>
      </w:r>
      <w:r>
        <w:rPr>
          <w:rFonts w:hint="eastAsia"/>
        </w:rPr>
        <w:t>的几何平均数等于（</w:t>
      </w:r>
      <w:r>
        <w:rPr>
          <w:rFonts w:hint="eastAsia"/>
        </w:rPr>
        <w:t>2)</w:t>
      </w:r>
    </w:p>
    <w:p w:rsidR="005E4335" w:rsidRDefault="005E4335" w:rsidP="005E4335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适用条件：常用于（</w:t>
      </w:r>
      <w:r>
        <w:rPr>
          <w:rFonts w:hint="eastAsia"/>
        </w:rPr>
        <w:t>1)</w:t>
      </w:r>
      <w:r>
        <w:rPr>
          <w:rFonts w:hint="eastAsia"/>
        </w:rPr>
        <w:t>呈等比数列资料，即变量值呈倍数关系或近似倍数关系；</w:t>
      </w:r>
      <w:r>
        <w:rPr>
          <w:rFonts w:hint="eastAsia"/>
        </w:rPr>
        <w:t>(2)</w:t>
      </w:r>
      <w:r>
        <w:rPr>
          <w:rFonts w:hint="eastAsia"/>
        </w:rPr>
        <w:t>对数正态分布或对数近似正态分布资料。</w:t>
      </w:r>
    </w:p>
    <w:p w:rsidR="006424BA" w:rsidRPr="005E4335" w:rsidRDefault="006424BA"/>
    <w:sectPr w:rsidR="006424BA" w:rsidRPr="005E4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335"/>
    <w:rsid w:val="005E4335"/>
    <w:rsid w:val="0064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3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3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2020-05-09T02:56:00Z</dcterms:created>
  <dcterms:modified xsi:type="dcterms:W3CDTF">2020-05-09T02:56:00Z</dcterms:modified>
</cp:coreProperties>
</file>